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adjustRightInd w:val="0"/>
        <w:snapToGrid w:val="0"/>
        <w:spacing w:before="0" w:beforeAutospacing="0" w:after="0" w:afterAutospacing="0" w:line="576" w:lineRule="exact"/>
        <w:ind w:left="0"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宗生态保护红线内矿业权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完成</w:t>
      </w:r>
      <w:r>
        <w:rPr>
          <w:rFonts w:hint="eastAsia" w:ascii="仿宋_GB2312" w:eastAsia="仿宋_GB2312"/>
          <w:color w:val="000000"/>
          <w:sz w:val="32"/>
          <w:szCs w:val="32"/>
        </w:rPr>
        <w:t>情况表</w:t>
      </w:r>
    </w:p>
    <w:p>
      <w:pPr>
        <w:pStyle w:val="5"/>
        <w:jc w:val="both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7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672"/>
        <w:gridCol w:w="581"/>
        <w:gridCol w:w="2486"/>
        <w:gridCol w:w="581"/>
        <w:gridCol w:w="1400"/>
        <w:gridCol w:w="581"/>
        <w:gridCol w:w="856"/>
        <w:gridCol w:w="856"/>
        <w:gridCol w:w="856"/>
        <w:gridCol w:w="856"/>
        <w:gridCol w:w="856"/>
        <w:gridCol w:w="865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矿业权名称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勘查阶段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探采分类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有效期止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是否央督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是否完成封闭井硐、拆除设备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是否完成职工安置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是否下达关闭决定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是否完成矿业权注销或避让变更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是否完成生态修复或是否落实生态修复责任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是否与矿业权人签订退出协议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四川省泸定县天药水坪地热详查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详查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T51320120501046064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探矿权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2018.5.11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完成矿权注销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四川省泸定县磨西镇共和地热普查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普查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T51420100901041326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探矿权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2017.9.30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完成矿权注销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76"/>
                <w:tab w:val="left" w:pos="597"/>
              </w:tabs>
              <w:jc w:val="left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3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四川省泸定县八字房温泉详查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详查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T51120090501028602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探矿权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2018.6.30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完成矿权注销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4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四川省泸定县磨西地热普查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普查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5100000120043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探矿权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2003.3.31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完成矿权注销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四川省泸定县磨西镇燕子沟地热勘查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勘查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5100000430145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探矿权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2006.3.8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完成矿权注销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6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  <w:t>成都虹源旅业投资管理有限公司泸定县磨西热矿泉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sz w:val="16"/>
                <w:szCs w:val="16"/>
              </w:rPr>
              <w:t>C510000200911110044009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采矿权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2014.11.30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保留矿权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7</w:t>
            </w: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甘孜藏族自治州国有资产经营管理有限公司海螺沟热矿泉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8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宋体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510000201101120009305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采矿权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val="en-US" w:eastAsia="zh-CN"/>
              </w:rPr>
              <w:t>2018.11.12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不涉及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否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避让变更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是</w:t>
            </w:r>
          </w:p>
        </w:tc>
        <w:tc>
          <w:tcPr>
            <w:tcW w:w="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Arial" w:hAnsi="Arial" w:eastAsia="仿宋" w:cs="Arial"/>
                <w:i w:val="0"/>
                <w:iCs w:val="0"/>
                <w:color w:val="000000"/>
                <w:sz w:val="16"/>
                <w:szCs w:val="16"/>
                <w:u w:val="none"/>
              </w:rPr>
              <w:t>∕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pStyle w:val="5"/>
        <w:rPr>
          <w:rFonts w:hint="eastAsia" w:ascii="仿宋_GB2312" w:eastAsia="仿宋_GB2312"/>
          <w:color w:val="000000"/>
          <w:sz w:val="32"/>
          <w:szCs w:val="32"/>
        </w:rPr>
      </w:pPr>
    </w:p>
    <w:sectPr>
      <w:pgSz w:w="16839" w:h="11907" w:orient="landscape"/>
      <w:pgMar w:top="1800" w:right="1440" w:bottom="180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WVhMjliODc0N2RmYzg4YTRjYmNhNzJiMDUyOGY4YzUifQ=="/>
  </w:docVars>
  <w:rsids>
    <w:rsidRoot w:val="00000000"/>
    <w:rsid w:val="0A9A5CF6"/>
    <w:rsid w:val="251D626C"/>
    <w:rsid w:val="419F4D63"/>
    <w:rsid w:val="4510690F"/>
    <w:rsid w:val="50AA646D"/>
    <w:rsid w:val="51C82FAA"/>
    <w:rsid w:val="63960FE7"/>
    <w:rsid w:val="75295853"/>
    <w:rsid w:val="753D4899"/>
    <w:rsid w:val="772334AF"/>
    <w:rsid w:val="7F9D9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bCs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E-mail Signature"/>
    <w:basedOn w:val="1"/>
    <w:qFormat/>
    <w:uiPriority w:val="0"/>
  </w:style>
  <w:style w:type="paragraph" w:styleId="6">
    <w:name w:val="Normal (Web)"/>
    <w:next w:val="5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Yozosoft</Company>
  <Pages>1</Pages>
  <Words>303</Words>
  <Characters>339</Characters>
  <Lines>21</Lines>
  <Paragraphs>9</Paragraphs>
  <TotalTime>4</TotalTime>
  <ScaleCrop>false</ScaleCrop>
  <LinksUpToDate>false</LinksUpToDate>
  <CharactersWithSpaces>343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uos</cp:lastModifiedBy>
  <dcterms:modified xsi:type="dcterms:W3CDTF">2023-10-06T15:24:19Z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A3588269ECE14D5BA015CF51A08A9BA5_13</vt:lpwstr>
  </property>
</Properties>
</file>